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default" w:ascii="微软雅黑" w:hAnsi="微软雅黑" w:eastAsia="微软雅黑" w:cs="微软雅黑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aps w:val="0"/>
          <w:spacing w:val="0"/>
          <w:kern w:val="0"/>
          <w:sz w:val="30"/>
          <w:szCs w:val="30"/>
          <w:lang w:val="en-US" w:eastAsia="zh-CN" w:bidi="ar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="微软雅黑" w:hAnsi="微软雅黑" w:eastAsia="微软雅黑" w:cs="微软雅黑"/>
          <w:b/>
          <w:bCs/>
          <w:caps w:val="0"/>
          <w:spacing w:val="0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aps w:val="0"/>
          <w:spacing w:val="0"/>
          <w:kern w:val="0"/>
          <w:sz w:val="36"/>
          <w:szCs w:val="36"/>
          <w:lang w:val="en-US" w:eastAsia="zh-CN" w:bidi="ar"/>
        </w:rPr>
        <w:t>关于对监理员培训合格证进行电子化的通知</w:t>
      </w:r>
    </w:p>
    <w:bookmarkEnd w:id="0"/>
    <w:p>
      <w:pPr>
        <w:pStyle w:val="2"/>
        <w:keepNext w:val="0"/>
        <w:keepLines w:val="0"/>
        <w:widowControl/>
        <w:suppressLineNumbers w:val="0"/>
        <w:spacing w:line="390" w:lineRule="atLeast"/>
        <w:jc w:val="center"/>
        <w:rPr>
          <w:rFonts w:hint="eastAsia" w:ascii="微软雅黑" w:hAnsi="微软雅黑" w:eastAsia="微软雅黑" w:cs="微软雅黑"/>
          <w:b/>
          <w:bCs/>
          <w:caps w:val="0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浙咨监协[2021]14号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各监理企业、有关单位：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       为响应住房和城乡建设领域“放管服”改革，提升监理行业培训监管服务水平，切实为广大监理企业减负，决定对我会颁发的监理员培训合格证进行电子化。现将有关事项通知如下：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       一、自2021年7月26日起，我会启用全省各地统一的监理员培训合格证电子证书（以下简称电子证书）。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       二、持有我会颁发的监理员培训合格证的人员，可通过监理企业登录“浙江省监理人员培训管理平台网络报名系统”（网址：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fldChar w:fldCharType="begin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instrText xml:space="preserve"> HYPERLINK "http://60.191.70.100:8096/jl-eps-regOnline/login.jsp" </w:instrTex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http://60.191.70.100:8096/jl-eps-regOnline/login.jsp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fldChar w:fldCharType="end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），进入“证书下载”栏目，输入姓名、身份证号、证书号，点击“查询”或“下载”，即可查看或下载电子证书。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       各有关单位可通过证书上的二维码或查询网址验证证书信息。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       三、原有纸质监理员培训合格证在2021年12月31日前仍然有效。2022年1月1日之后统一使用电子证书。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附：监理员培训合格证电子证书式样</w:t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微软雅黑" w:hAnsi="微软雅黑" w:eastAsia="微软雅黑" w:cs="微软雅黑"/>
          <w:caps w:val="0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aps w:val="0"/>
          <w:spacing w:val="0"/>
          <w:sz w:val="21"/>
          <w:szCs w:val="21"/>
          <w:lang w:eastAsia="zh-CN"/>
        </w:rPr>
        <w:drawing>
          <wp:inline distT="0" distB="0" distL="114300" distR="114300">
            <wp:extent cx="2857500" cy="4048125"/>
            <wp:effectExtent l="0" t="0" r="0" b="9525"/>
            <wp:docPr id="1" name="图片 1" descr="bcbe25c5_eecc_4ff6_a7e4_935bd67f76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be25c5_eecc_4ff6_a7e4_935bd67f76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390" w:lineRule="atLeast"/>
        <w:jc w:val="left"/>
        <w:rPr>
          <w:rFonts w:hint="eastAsia" w:ascii="微软雅黑" w:hAnsi="微软雅黑" w:eastAsia="微软雅黑" w:cs="微软雅黑"/>
          <w:caps w:val="0"/>
          <w:spacing w:val="0"/>
          <w:sz w:val="21"/>
          <w:szCs w:val="21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spacing w:line="390" w:lineRule="atLeast"/>
        <w:ind w:left="5510" w:leftChars="1824" w:hanging="1680" w:hangingChars="700"/>
        <w:jc w:val="left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浙江省全过程工程咨询与监理管理协会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br w:type="textWrapping"/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</w:rPr>
        <w:t>2021年8月3</w:t>
      </w:r>
      <w:r>
        <w:rPr>
          <w:rFonts w:hint="eastAsia" w:ascii="微软雅黑" w:hAnsi="微软雅黑" w:eastAsia="微软雅黑" w:cs="微软雅黑"/>
          <w:caps w:val="0"/>
          <w:spacing w:val="0"/>
          <w:sz w:val="24"/>
          <w:szCs w:val="24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2100B"/>
    <w:rsid w:val="6A32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2021-08-11T05:22:00Z</dcterms:created>
  <dc:creator>走米足各</dc:creator>
  <cp:lastModifiedBy>走米足各</cp:lastModifiedBy>
  <dcterms:modified xsi:type="dcterms:W3CDTF">2021-08-11T05:23:34Z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E39DB9C962A747C282D43885A015867D</vt:lpwstr>
  </property>
</Properties>
</file>